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32" w:rsidRPr="00881832" w:rsidRDefault="00881832" w:rsidP="00881832">
      <w:pPr>
        <w:widowControl w:val="0"/>
        <w:tabs>
          <w:tab w:val="left" w:pos="6840"/>
        </w:tabs>
        <w:spacing w:line="280" w:lineRule="exact"/>
        <w:ind w:firstLine="5103"/>
        <w:jc w:val="both"/>
        <w:rPr>
          <w:sz w:val="30"/>
          <w:szCs w:val="30"/>
        </w:rPr>
      </w:pPr>
      <w:r w:rsidRPr="00881832">
        <w:rPr>
          <w:sz w:val="30"/>
          <w:szCs w:val="30"/>
        </w:rPr>
        <w:t>Приложение 1</w:t>
      </w: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  <w:r w:rsidRPr="00881832">
        <w:rPr>
          <w:sz w:val="30"/>
          <w:szCs w:val="30"/>
        </w:rPr>
        <w:t>к решению администрации Первомайского района г.Минска</w:t>
      </w:r>
    </w:p>
    <w:p w:rsidR="00881832" w:rsidRPr="00881832" w:rsidRDefault="00881832" w:rsidP="00881832">
      <w:pPr>
        <w:spacing w:line="280" w:lineRule="exact"/>
        <w:ind w:left="4383" w:firstLine="720"/>
        <w:jc w:val="both"/>
        <w:rPr>
          <w:rFonts w:eastAsia="Calibri"/>
          <w:sz w:val="30"/>
          <w:szCs w:val="30"/>
          <w:lang w:eastAsia="en-US"/>
        </w:rPr>
      </w:pPr>
      <w:r w:rsidRPr="00881832">
        <w:rPr>
          <w:sz w:val="30"/>
          <w:szCs w:val="30"/>
        </w:rPr>
        <w:t xml:space="preserve">от </w:t>
      </w:r>
      <w:r>
        <w:rPr>
          <w:sz w:val="30"/>
          <w:szCs w:val="30"/>
        </w:rPr>
        <w:t>03.06.2025</w:t>
      </w:r>
    </w:p>
    <w:p w:rsidR="00CA66D8" w:rsidRDefault="00CA66D8" w:rsidP="00881832">
      <w:pPr>
        <w:spacing w:after="1"/>
        <w:jc w:val="center"/>
        <w:rPr>
          <w:rFonts w:eastAsia="Calibri"/>
          <w:sz w:val="30"/>
          <w:szCs w:val="30"/>
          <w:lang w:eastAsia="en-US"/>
        </w:rPr>
      </w:pPr>
      <w:bookmarkStart w:id="0" w:name="P29"/>
      <w:bookmarkEnd w:id="0"/>
    </w:p>
    <w:p w:rsidR="00881832" w:rsidRPr="00881832" w:rsidRDefault="00881832" w:rsidP="00881832">
      <w:pPr>
        <w:spacing w:after="1"/>
        <w:jc w:val="center"/>
        <w:rPr>
          <w:rFonts w:eastAsia="Calibri"/>
          <w:sz w:val="30"/>
          <w:szCs w:val="30"/>
          <w:lang w:eastAsia="en-US"/>
        </w:rPr>
      </w:pPr>
      <w:bookmarkStart w:id="1" w:name="_GoBack"/>
      <w:bookmarkEnd w:id="1"/>
      <w:r w:rsidRPr="00881832">
        <w:rPr>
          <w:rFonts w:eastAsia="Calibri"/>
          <w:sz w:val="30"/>
          <w:szCs w:val="30"/>
          <w:lang w:eastAsia="en-US"/>
        </w:rPr>
        <w:t xml:space="preserve">Положение о  </w:t>
      </w:r>
      <w:r>
        <w:rPr>
          <w:rFonts w:eastAsia="Calibri"/>
          <w:sz w:val="30"/>
          <w:szCs w:val="30"/>
          <w:lang w:eastAsia="en-US"/>
        </w:rPr>
        <w:t xml:space="preserve">постоянно действующей </w:t>
      </w:r>
      <w:r w:rsidRPr="00881832">
        <w:rPr>
          <w:rFonts w:eastAsia="Calibri"/>
          <w:sz w:val="30"/>
          <w:szCs w:val="30"/>
          <w:lang w:eastAsia="en-US"/>
        </w:rPr>
        <w:t xml:space="preserve">комиссии по координации работы по содействию занятости населения в Первомайском районе г. Минска </w:t>
      </w:r>
    </w:p>
    <w:p w:rsidR="00881832" w:rsidRPr="00881832" w:rsidRDefault="00881832" w:rsidP="00881832">
      <w:pPr>
        <w:spacing w:after="1"/>
        <w:jc w:val="center"/>
        <w:rPr>
          <w:rFonts w:eastAsia="Calibri"/>
          <w:sz w:val="30"/>
          <w:szCs w:val="30"/>
          <w:lang w:eastAsia="en-US"/>
        </w:rPr>
      </w:pP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1. 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в Первомайском районе г.Минска (далее - комиссия).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2. 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администрации Первомайского района г.Минска и другими актами законодательства.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3. Обеспечение деятельности комиссии осуществляется администрацией Первомайского района г.Минска (далее – администрация). 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4. Основной задачей комиссии является координация работы по реализации норм Декрета Президента Республики Беларусь от 2 апреля 2015 г. № 3, в том числе посредством: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в соответствии с законодательством об административных процедурах;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lastRenderedPageBreak/>
        <w:t xml:space="preserve"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</w:t>
      </w:r>
      <w:hyperlink w:anchor="P51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&lt;**&gt;</w:t>
        </w:r>
      </w:hyperlink>
      <w:r w:rsidRPr="00881832">
        <w:rPr>
          <w:rFonts w:eastAsiaTheme="minorHAnsi"/>
          <w:sz w:val="30"/>
          <w:szCs w:val="30"/>
          <w:lang w:eastAsia="en-US"/>
        </w:rPr>
        <w:t xml:space="preserve">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 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проведения иных мероприятий в рамках реализации </w:t>
      </w:r>
      <w:hyperlink r:id="rId8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 xml:space="preserve">Декрета </w:t>
        </w:r>
      </w:hyperlink>
      <w:r w:rsidRPr="00881832">
        <w:rPr>
          <w:rFonts w:eastAsiaTheme="minorHAnsi"/>
          <w:color w:val="000000" w:themeColor="text1"/>
          <w:sz w:val="30"/>
          <w:szCs w:val="30"/>
          <w:lang w:eastAsia="en-US"/>
        </w:rPr>
        <w:t>Президента Республики Беларусь от 2 апреля 2015 г. № 3.</w:t>
      </w:r>
    </w:p>
    <w:p w:rsidR="00881832" w:rsidRPr="00881832" w:rsidRDefault="00881832" w:rsidP="00881832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--------------------------------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81832">
        <w:rPr>
          <w:rFonts w:eastAsiaTheme="minorHAnsi"/>
          <w:sz w:val="26"/>
          <w:szCs w:val="26"/>
          <w:lang w:eastAsia="en-US"/>
        </w:rPr>
        <w:t>&lt;*&gt;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  <w:bookmarkStart w:id="2" w:name="P51"/>
      <w:bookmarkEnd w:id="2"/>
    </w:p>
    <w:p w:rsidR="00881832" w:rsidRPr="00881832" w:rsidRDefault="00881832" w:rsidP="00881832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81832">
        <w:rPr>
          <w:rFonts w:eastAsiaTheme="minorHAnsi"/>
          <w:sz w:val="26"/>
          <w:szCs w:val="26"/>
          <w:lang w:eastAsia="en-US"/>
        </w:rPr>
        <w:t>&lt;**&gt; Для целей настоящего Положения под иными государственными органами (организациями) понимаются: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81832">
        <w:rPr>
          <w:rFonts w:eastAsiaTheme="minorHAnsi"/>
          <w:sz w:val="26"/>
          <w:szCs w:val="26"/>
          <w:lang w:eastAsia="en-US"/>
        </w:rPr>
        <w:t xml:space="preserve">государственные органы, имеющие право в соответствии с </w:t>
      </w:r>
      <w:hyperlink r:id="rId9" w:history="1">
        <w:r w:rsidRPr="00881832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первой подпункта 1.9        пункта 1</w:t>
        </w:r>
      </w:hyperlink>
      <w:r w:rsidRPr="0088183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881832">
        <w:rPr>
          <w:rFonts w:eastAsiaTheme="minorHAnsi"/>
          <w:sz w:val="26"/>
          <w:szCs w:val="26"/>
          <w:lang w:eastAsia="en-US"/>
        </w:rPr>
        <w:t>Указа Президента Республики Беларусь от 6 января 2012 г. № 13 "О некоторых вопросах предоставления гражданам государственной поддержки при строительстве (реконструкции) или приобретении жилых помещений"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81832">
        <w:rPr>
          <w:rFonts w:eastAsiaTheme="minorHAnsi"/>
          <w:sz w:val="26"/>
          <w:szCs w:val="26"/>
          <w:lang w:eastAsia="en-US"/>
        </w:rPr>
        <w:t xml:space="preserve">государственные органы, имеющие право в соответствии с </w:t>
      </w:r>
      <w:hyperlink r:id="rId10" w:history="1">
        <w:r w:rsidRPr="00881832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второй подпункта 1.14       пункта 1</w:t>
        </w:r>
      </w:hyperlink>
      <w:r w:rsidRPr="00881832">
        <w:rPr>
          <w:rFonts w:eastAsiaTheme="minorHAnsi"/>
          <w:sz w:val="26"/>
          <w:szCs w:val="26"/>
          <w:lang w:eastAsia="en-US"/>
        </w:rPr>
        <w:t xml:space="preserve"> Указа Президента Республики Беларусь от 4 июля 2017 г. № 240 "О государственной поддержке граждан при строительстве (реконструкции) жилых помещений"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lastRenderedPageBreak/>
        <w:t>5. Для реализации возложенных задач комиссия имеет право: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по запросам государственных органов и организаций, указанных в </w:t>
      </w:r>
      <w:hyperlink w:anchor="P44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абзаце седьмом пункта 4</w:t>
        </w:r>
      </w:hyperlink>
      <w:r w:rsidRPr="00881832">
        <w:rPr>
          <w:rFonts w:eastAsiaTheme="minorHAnsi"/>
          <w:sz w:val="30"/>
          <w:szCs w:val="30"/>
          <w:lang w:eastAsia="en-US"/>
        </w:rPr>
        <w:t xml:space="preserve">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</w:t>
      </w:r>
      <w:hyperlink w:anchor="P76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&lt;***&gt;</w:t>
        </w:r>
      </w:hyperlink>
      <w:r w:rsidRPr="00881832">
        <w:rPr>
          <w:rFonts w:eastAsiaTheme="minorHAnsi"/>
          <w:color w:val="000000" w:themeColor="text1"/>
          <w:sz w:val="30"/>
          <w:szCs w:val="30"/>
          <w:lang w:eastAsia="en-US"/>
        </w:rPr>
        <w:t xml:space="preserve"> </w:t>
      </w:r>
      <w:r w:rsidRPr="00881832">
        <w:rPr>
          <w:rFonts w:eastAsiaTheme="minorHAnsi"/>
          <w:sz w:val="30"/>
          <w:szCs w:val="30"/>
          <w:lang w:eastAsia="en-US"/>
        </w:rPr>
        <w:t xml:space="preserve">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 </w:t>
      </w:r>
      <w:hyperlink w:anchor="P78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&lt;****&gt;</w:t>
        </w:r>
      </w:hyperlink>
      <w:r w:rsidRPr="00881832">
        <w:rPr>
          <w:rFonts w:eastAsiaTheme="minorHAnsi"/>
          <w:sz w:val="30"/>
          <w:szCs w:val="30"/>
          <w:lang w:eastAsia="en-US"/>
        </w:rPr>
        <w:t>: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трудоспособными гражданами, не занятыми в экономике, находящимися в трудной жизненной ситуации;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</w:t>
      </w:r>
      <w:hyperlink r:id="rId11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частью второй подпункта 1.14        пункта</w:t>
        </w:r>
        <w:r w:rsidRPr="00881832">
          <w:rPr>
            <w:rFonts w:eastAsiaTheme="minorHAnsi"/>
            <w:color w:val="0000FF"/>
            <w:sz w:val="30"/>
            <w:szCs w:val="30"/>
            <w:lang w:eastAsia="en-US"/>
          </w:rPr>
          <w:t xml:space="preserve"> </w:t>
        </w:r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1</w:t>
        </w:r>
      </w:hyperlink>
      <w:r w:rsidRPr="00881832">
        <w:rPr>
          <w:rFonts w:eastAsiaTheme="minorHAnsi"/>
          <w:sz w:val="30"/>
          <w:szCs w:val="30"/>
          <w:lang w:eastAsia="en-US"/>
        </w:rPr>
        <w:t xml:space="preserve"> Указа Президента Республики Беларусь от 4 июля 2017 г. № 240);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--------------------------------</w:t>
      </w:r>
    </w:p>
    <w:p w:rsidR="00881832" w:rsidRPr="00881832" w:rsidRDefault="00881832" w:rsidP="00881832">
      <w:pPr>
        <w:spacing w:before="220" w:after="1" w:line="220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76"/>
      <w:bookmarkEnd w:id="3"/>
      <w:r w:rsidRPr="00881832">
        <w:rPr>
          <w:rFonts w:eastAsiaTheme="minorHAnsi"/>
          <w:sz w:val="26"/>
          <w:szCs w:val="26"/>
          <w:lang w:eastAsia="en-US"/>
        </w:rPr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881832" w:rsidRPr="00881832" w:rsidRDefault="00881832" w:rsidP="00881832">
      <w:pPr>
        <w:spacing w:before="220" w:after="1" w:line="220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78"/>
      <w:bookmarkEnd w:id="4"/>
      <w:r w:rsidRPr="00881832">
        <w:rPr>
          <w:rFonts w:eastAsiaTheme="minorHAnsi"/>
          <w:sz w:val="26"/>
          <w:szCs w:val="26"/>
          <w:lang w:eastAsia="en-US"/>
        </w:rPr>
        <w:t xml:space="preserve"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</w:t>
      </w:r>
      <w:hyperlink r:id="rId12" w:history="1">
        <w:r w:rsidRPr="00881832">
          <w:rPr>
            <w:rFonts w:eastAsiaTheme="minorHAnsi"/>
            <w:color w:val="000000" w:themeColor="text1"/>
            <w:sz w:val="26"/>
            <w:szCs w:val="26"/>
            <w:lang w:eastAsia="en-US"/>
          </w:rPr>
          <w:t>абзацем двенадцатым пункта 5</w:t>
        </w:r>
      </w:hyperlink>
      <w:r w:rsidRPr="00881832">
        <w:rPr>
          <w:rFonts w:eastAsiaTheme="minorHAnsi"/>
          <w:sz w:val="26"/>
          <w:szCs w:val="26"/>
          <w:lang w:eastAsia="en-US"/>
        </w:rPr>
        <w:t xml:space="preserve"> Указа Президента Республики Беларусь от 6 января 2012 г. N 13, а для целей предоставления субсидии на уплату части процентов (субсидий) - в соответствии с </w:t>
      </w:r>
      <w:hyperlink r:id="rId13" w:history="1">
        <w:r w:rsidRPr="00881832">
          <w:rPr>
            <w:rFonts w:eastAsiaTheme="minorHAnsi"/>
            <w:color w:val="000000" w:themeColor="text1"/>
            <w:sz w:val="26"/>
            <w:szCs w:val="26"/>
            <w:lang w:eastAsia="en-US"/>
          </w:rPr>
          <w:t>абзацем восьмым пункта 3</w:t>
        </w:r>
      </w:hyperlink>
      <w:r w:rsidRPr="00881832">
        <w:rPr>
          <w:rFonts w:eastAsiaTheme="minorHAnsi"/>
          <w:sz w:val="26"/>
          <w:szCs w:val="26"/>
          <w:lang w:eastAsia="en-US"/>
        </w:rPr>
        <w:t xml:space="preserve"> Указа Президента Республики Беларусь от 4 июля 2017 г. № 240.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</w:t>
      </w:r>
      <w:r w:rsidRPr="00881832">
        <w:rPr>
          <w:rFonts w:eastAsiaTheme="minorHAnsi"/>
          <w:sz w:val="30"/>
          <w:szCs w:val="30"/>
          <w:lang w:eastAsia="en-US"/>
        </w:rPr>
        <w:lastRenderedPageBreak/>
        <w:t xml:space="preserve">него граждан, которые относятся к категориям, указанным в </w:t>
      </w:r>
      <w:hyperlink r:id="rId14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пунктах 3</w:t>
        </w:r>
      </w:hyperlink>
      <w:r w:rsidRPr="00881832">
        <w:rPr>
          <w:rFonts w:eastAsiaTheme="minorHAnsi"/>
          <w:color w:val="000000" w:themeColor="text1"/>
          <w:sz w:val="30"/>
          <w:szCs w:val="30"/>
          <w:lang w:eastAsia="en-US"/>
        </w:rPr>
        <w:t xml:space="preserve"> и </w:t>
      </w:r>
      <w:hyperlink r:id="rId15" w:history="1">
        <w:r w:rsidRPr="00881832">
          <w:rPr>
            <w:rFonts w:eastAsiaTheme="minorHAnsi"/>
            <w:color w:val="000000" w:themeColor="text1"/>
            <w:sz w:val="30"/>
            <w:szCs w:val="30"/>
            <w:lang w:eastAsia="en-US"/>
          </w:rPr>
          <w:t>4</w:t>
        </w:r>
      </w:hyperlink>
      <w:r w:rsidRPr="00881832">
        <w:rPr>
          <w:rFonts w:eastAsiaTheme="minorHAnsi"/>
          <w:sz w:val="30"/>
          <w:szCs w:val="30"/>
          <w:lang w:eastAsia="en-US"/>
        </w:rPr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№ 239;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18.1.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взаимодействовать с территориальными органами внутренних дел в проведении профилактической работы, направленной на ресоциализацию </w:t>
      </w:r>
      <w:r w:rsidRPr="00881832">
        <w:rPr>
          <w:rFonts w:eastAsiaTheme="minorHAnsi"/>
          <w:sz w:val="30"/>
          <w:szCs w:val="30"/>
          <w:lang w:eastAsia="en-US"/>
        </w:rPr>
        <w:lastRenderedPageBreak/>
        <w:t>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взаимодействовать с государственными органами, иными организациями независимо от формы собственности;</w:t>
      </w:r>
    </w:p>
    <w:p w:rsidR="00881832" w:rsidRPr="00881832" w:rsidRDefault="00881832" w:rsidP="00881832">
      <w:pPr>
        <w:ind w:firstLine="53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реализовывать иные права в соответствии с законодательством.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6. В состав комиссии входят председатель комиссии, его заместитель, секретарь и иные члены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Должность секретаря комиссии может вводиться в пределах установленной численности работников администрации района. Оплата труда по указанной должности служащего осуществляется в порядке, установленном законодательством.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7. Председателем комиссии является глава администрации.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Председатель комиссии: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руководит работой комиссии и несет персональную ответственность за выполнение возложенных на нее задач;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проводит заседания комиссии и подписывает протоколы заседаний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планирует работу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вносит предложения в администрацию о персональном составе комиссии, прекращении деятельности ее членов, кандидатуре секретаря;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осуществляет иные функции в соответствии с законодательством.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 период отсутствия председателя комиссии его обязанности выполняет заместитель председателя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8. Секретарь комиссии: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осуществляет работу с базой данных;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консультирует членов комиссии по работе с базой данных;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подготавливает проекты решений администрации об утверждении списка трудоспособных граждан, не занятых в экономике, оплачивающих услуги с возмещением затрат, и списка трудоспособных граждан, не </w:t>
      </w:r>
      <w:r w:rsidRPr="00881832">
        <w:rPr>
          <w:rFonts w:eastAsiaTheme="minorHAnsi"/>
          <w:sz w:val="30"/>
          <w:szCs w:val="30"/>
          <w:lang w:eastAsia="en-US"/>
        </w:rPr>
        <w:lastRenderedPageBreak/>
        <w:t>занятых в экономике, выехавших за пределы Республики Беларусь, оплачивающих услуги с возмещением затрат;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подготавливает запросы о предоставлении информации по вопросам, относящимся к деятельности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обеспечивает отчетность по вопросам деятельности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оказывает консультацию гражданам по вопросам реализации Декрета Президента Республики Беларусь от 2 апреля 2015 г. № 3;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осуществляет подготовку материалов для рассмотрения на заседании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осуществляет подготовку заседаний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оформляет протоколы заседаний и решений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ведет делопроизводство в комиссии;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осуществляет иные функции, возложенные на него председателем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9. В состав комиссии включаются депутаты всех уровней, специалисты структурных подразделений администрации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администрации, представители республиканских государственно-общественных объединений, иных общественных объединений.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10. Персональный состав комиссии утверждается решением администрации.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Заседания комиссии считаются правомочными при наличии не менее двух третей ее членов.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lastRenderedPageBreak/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13. В протоколе заседания комиссии указываются: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дата и место проведения заседания;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председательствующий на заседании;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результаты голосования и принятые решения.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администрации района три года.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17. После получения доступа к базе данных комиссия ежемесячно формирует в электронном виде список трудоспособных граждан, не занятых в экономике, оплачивающих услуги с возмещением затрат, и организует работу с гражданами, сведения о которых содержатся в нем, в том числе рассматривают их заявления.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18.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до конца текущего месяца утверждается решением администрации и подписывается в базе данных главой администрации электронной цифровой подписью, выработанной с использованием личного ключа, </w:t>
      </w:r>
      <w:r w:rsidRPr="00881832">
        <w:rPr>
          <w:rFonts w:eastAsiaTheme="minorHAnsi"/>
          <w:sz w:val="30"/>
          <w:szCs w:val="30"/>
          <w:lang w:eastAsia="en-US"/>
        </w:rPr>
        <w:lastRenderedPageBreak/>
        <w:t>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881832" w:rsidRPr="00881832" w:rsidRDefault="00881832" w:rsidP="00881832">
      <w:pPr>
        <w:ind w:firstLine="540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– АИС «Расчет-ЖКУ»)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18.1.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до 9-го числа утверждается решением администрации и подписывается в базе данных главой администрации района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lastRenderedPageBreak/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18.2.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Пересмотренные списки подписываются и утверждаются в месяце их формирования в порядке, установленном частью первой пункта 18 настоящего Положения.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</w:t>
      </w:r>
      <w:r w:rsidRPr="00881832">
        <w:rPr>
          <w:rFonts w:eastAsiaTheme="minorHAnsi"/>
          <w:sz w:val="30"/>
          <w:szCs w:val="30"/>
          <w:lang w:eastAsia="en-US"/>
        </w:rPr>
        <w:lastRenderedPageBreak/>
        <w:t>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18.3. Утвержденные списки хранятся в базе данных три года.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19.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881832" w:rsidRPr="00881832" w:rsidRDefault="00881832" w:rsidP="008818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81832">
        <w:rPr>
          <w:rFonts w:eastAsiaTheme="minorHAnsi"/>
          <w:sz w:val="30"/>
          <w:szCs w:val="30"/>
          <w:lang w:eastAsia="en-US"/>
        </w:rPr>
        <w:t>20.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</w:p>
    <w:sectPr w:rsidR="00881832" w:rsidRPr="00881832" w:rsidSect="005C6746">
      <w:headerReference w:type="default" r:id="rId1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F1" w:rsidRDefault="004C16F1" w:rsidP="004C16F1">
      <w:r>
        <w:separator/>
      </w:r>
    </w:p>
  </w:endnote>
  <w:endnote w:type="continuationSeparator" w:id="0">
    <w:p w:rsidR="004C16F1" w:rsidRDefault="004C16F1" w:rsidP="004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F1" w:rsidRDefault="004C16F1" w:rsidP="004C16F1">
      <w:r>
        <w:separator/>
      </w:r>
    </w:p>
  </w:footnote>
  <w:footnote w:type="continuationSeparator" w:id="0">
    <w:p w:rsidR="004C16F1" w:rsidRDefault="004C16F1" w:rsidP="004C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380057"/>
      <w:docPartObj>
        <w:docPartGallery w:val="Page Numbers (Top of Page)"/>
        <w:docPartUnique/>
      </w:docPartObj>
    </w:sdtPr>
    <w:sdtEndPr/>
    <w:sdtContent>
      <w:p w:rsidR="004C16F1" w:rsidRDefault="004C16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D8">
          <w:rPr>
            <w:noProof/>
          </w:rPr>
          <w:t>10</w:t>
        </w:r>
        <w:r>
          <w:fldChar w:fldCharType="end"/>
        </w:r>
      </w:p>
    </w:sdtContent>
  </w:sdt>
  <w:p w:rsidR="004C16F1" w:rsidRDefault="004C16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641"/>
    <w:multiLevelType w:val="hybridMultilevel"/>
    <w:tmpl w:val="B88C53B4"/>
    <w:lvl w:ilvl="0" w:tplc="74346BF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BC2B51"/>
    <w:multiLevelType w:val="hybridMultilevel"/>
    <w:tmpl w:val="62E09250"/>
    <w:lvl w:ilvl="0" w:tplc="5B240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3411E"/>
    <w:multiLevelType w:val="hybridMultilevel"/>
    <w:tmpl w:val="B310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2FB"/>
    <w:multiLevelType w:val="hybridMultilevel"/>
    <w:tmpl w:val="AE4AD9F0"/>
    <w:lvl w:ilvl="0" w:tplc="E42613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6086A"/>
    <w:multiLevelType w:val="multilevel"/>
    <w:tmpl w:val="7EC4CD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2BFF1ED2"/>
    <w:multiLevelType w:val="hybridMultilevel"/>
    <w:tmpl w:val="61B4A3CC"/>
    <w:lvl w:ilvl="0" w:tplc="7D549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D1CCE"/>
    <w:multiLevelType w:val="hybridMultilevel"/>
    <w:tmpl w:val="DB1EA1BA"/>
    <w:lvl w:ilvl="0" w:tplc="C6460FBC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E6CBB"/>
    <w:multiLevelType w:val="hybridMultilevel"/>
    <w:tmpl w:val="0B80AB3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46A0A"/>
    <w:multiLevelType w:val="hybridMultilevel"/>
    <w:tmpl w:val="7ACC3F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D90"/>
    <w:multiLevelType w:val="hybridMultilevel"/>
    <w:tmpl w:val="5F581742"/>
    <w:lvl w:ilvl="0" w:tplc="BC3495F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312E1"/>
    <w:multiLevelType w:val="multilevel"/>
    <w:tmpl w:val="28D02E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625B7624"/>
    <w:multiLevelType w:val="hybridMultilevel"/>
    <w:tmpl w:val="2D22D9C0"/>
    <w:lvl w:ilvl="0" w:tplc="943A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D40C3D"/>
    <w:multiLevelType w:val="hybridMultilevel"/>
    <w:tmpl w:val="701C4E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6E73"/>
    <w:multiLevelType w:val="hybridMultilevel"/>
    <w:tmpl w:val="18A49188"/>
    <w:lvl w:ilvl="0" w:tplc="D32E3D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2C11DD"/>
    <w:multiLevelType w:val="multilevel"/>
    <w:tmpl w:val="6136C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1"/>
    <w:rsid w:val="00005A9B"/>
    <w:rsid w:val="000062A4"/>
    <w:rsid w:val="00020F80"/>
    <w:rsid w:val="000268A7"/>
    <w:rsid w:val="00043B80"/>
    <w:rsid w:val="00045876"/>
    <w:rsid w:val="00051793"/>
    <w:rsid w:val="0008102C"/>
    <w:rsid w:val="00081A37"/>
    <w:rsid w:val="00087EA1"/>
    <w:rsid w:val="000D0326"/>
    <w:rsid w:val="000E3003"/>
    <w:rsid w:val="000F1178"/>
    <w:rsid w:val="001033F6"/>
    <w:rsid w:val="00107284"/>
    <w:rsid w:val="00111C43"/>
    <w:rsid w:val="001236B4"/>
    <w:rsid w:val="0012667A"/>
    <w:rsid w:val="00133575"/>
    <w:rsid w:val="0014212D"/>
    <w:rsid w:val="001606AB"/>
    <w:rsid w:val="0016149C"/>
    <w:rsid w:val="001B2B97"/>
    <w:rsid w:val="001D072C"/>
    <w:rsid w:val="001D3601"/>
    <w:rsid w:val="001D4138"/>
    <w:rsid w:val="001D52F9"/>
    <w:rsid w:val="002224D3"/>
    <w:rsid w:val="00227AC2"/>
    <w:rsid w:val="002460E6"/>
    <w:rsid w:val="002526C1"/>
    <w:rsid w:val="00253414"/>
    <w:rsid w:val="00256052"/>
    <w:rsid w:val="00257ACB"/>
    <w:rsid w:val="002608F5"/>
    <w:rsid w:val="0029469F"/>
    <w:rsid w:val="002D41FE"/>
    <w:rsid w:val="002E45E2"/>
    <w:rsid w:val="002F364B"/>
    <w:rsid w:val="00301EA7"/>
    <w:rsid w:val="00303E5C"/>
    <w:rsid w:val="003112D9"/>
    <w:rsid w:val="00311ACF"/>
    <w:rsid w:val="00317DD1"/>
    <w:rsid w:val="00347DD6"/>
    <w:rsid w:val="003517FA"/>
    <w:rsid w:val="003665DC"/>
    <w:rsid w:val="00376ECE"/>
    <w:rsid w:val="00387A0F"/>
    <w:rsid w:val="003926C7"/>
    <w:rsid w:val="00392B33"/>
    <w:rsid w:val="003A6500"/>
    <w:rsid w:val="003C25AA"/>
    <w:rsid w:val="003D44A9"/>
    <w:rsid w:val="003F1767"/>
    <w:rsid w:val="003F4BAD"/>
    <w:rsid w:val="00401318"/>
    <w:rsid w:val="00412231"/>
    <w:rsid w:val="00413736"/>
    <w:rsid w:val="00435BD9"/>
    <w:rsid w:val="00447074"/>
    <w:rsid w:val="004536C0"/>
    <w:rsid w:val="00457032"/>
    <w:rsid w:val="004631C1"/>
    <w:rsid w:val="00463F06"/>
    <w:rsid w:val="00477F23"/>
    <w:rsid w:val="00482E42"/>
    <w:rsid w:val="00497C4E"/>
    <w:rsid w:val="004A682E"/>
    <w:rsid w:val="004A70F9"/>
    <w:rsid w:val="004B5A64"/>
    <w:rsid w:val="004B71A2"/>
    <w:rsid w:val="004C16F1"/>
    <w:rsid w:val="004F7503"/>
    <w:rsid w:val="00501926"/>
    <w:rsid w:val="00513C99"/>
    <w:rsid w:val="00524E12"/>
    <w:rsid w:val="0053012C"/>
    <w:rsid w:val="00530D6D"/>
    <w:rsid w:val="00540DB7"/>
    <w:rsid w:val="0056619A"/>
    <w:rsid w:val="00575BCF"/>
    <w:rsid w:val="005B1034"/>
    <w:rsid w:val="005B1782"/>
    <w:rsid w:val="005C5D8B"/>
    <w:rsid w:val="005C6746"/>
    <w:rsid w:val="005D400D"/>
    <w:rsid w:val="005D52EE"/>
    <w:rsid w:val="005E18FE"/>
    <w:rsid w:val="005E2D42"/>
    <w:rsid w:val="0061046A"/>
    <w:rsid w:val="0061494F"/>
    <w:rsid w:val="0062072F"/>
    <w:rsid w:val="006327BE"/>
    <w:rsid w:val="0063626E"/>
    <w:rsid w:val="00636697"/>
    <w:rsid w:val="00640F89"/>
    <w:rsid w:val="006716CB"/>
    <w:rsid w:val="0067330C"/>
    <w:rsid w:val="006734D5"/>
    <w:rsid w:val="00677A90"/>
    <w:rsid w:val="006837B4"/>
    <w:rsid w:val="00687872"/>
    <w:rsid w:val="006A2338"/>
    <w:rsid w:val="006A4186"/>
    <w:rsid w:val="006A5D95"/>
    <w:rsid w:val="006B10C3"/>
    <w:rsid w:val="006B1657"/>
    <w:rsid w:val="006D54FB"/>
    <w:rsid w:val="0070003A"/>
    <w:rsid w:val="007072A1"/>
    <w:rsid w:val="007110D4"/>
    <w:rsid w:val="00717028"/>
    <w:rsid w:val="0071702E"/>
    <w:rsid w:val="00736D3F"/>
    <w:rsid w:val="007650BA"/>
    <w:rsid w:val="00771A14"/>
    <w:rsid w:val="00774578"/>
    <w:rsid w:val="0077687C"/>
    <w:rsid w:val="0079460D"/>
    <w:rsid w:val="007B7F5F"/>
    <w:rsid w:val="007C76AB"/>
    <w:rsid w:val="007D265F"/>
    <w:rsid w:val="007D2CCA"/>
    <w:rsid w:val="007D3DF4"/>
    <w:rsid w:val="007D3F70"/>
    <w:rsid w:val="007F201A"/>
    <w:rsid w:val="007F5232"/>
    <w:rsid w:val="00804465"/>
    <w:rsid w:val="00812E7B"/>
    <w:rsid w:val="0082170A"/>
    <w:rsid w:val="008232EA"/>
    <w:rsid w:val="00836D32"/>
    <w:rsid w:val="00857414"/>
    <w:rsid w:val="00865A80"/>
    <w:rsid w:val="00874E40"/>
    <w:rsid w:val="00880B55"/>
    <w:rsid w:val="00881832"/>
    <w:rsid w:val="008A29D8"/>
    <w:rsid w:val="008A5571"/>
    <w:rsid w:val="008A6E1E"/>
    <w:rsid w:val="008B0CD9"/>
    <w:rsid w:val="008B621B"/>
    <w:rsid w:val="008C1ABA"/>
    <w:rsid w:val="008C5C43"/>
    <w:rsid w:val="008D295E"/>
    <w:rsid w:val="008E50A6"/>
    <w:rsid w:val="008F497A"/>
    <w:rsid w:val="009004D4"/>
    <w:rsid w:val="00902F22"/>
    <w:rsid w:val="009119A5"/>
    <w:rsid w:val="00952BC0"/>
    <w:rsid w:val="00952C3F"/>
    <w:rsid w:val="009615C0"/>
    <w:rsid w:val="009633F5"/>
    <w:rsid w:val="0096344B"/>
    <w:rsid w:val="00967D2B"/>
    <w:rsid w:val="00970D89"/>
    <w:rsid w:val="00974647"/>
    <w:rsid w:val="00981A6F"/>
    <w:rsid w:val="00985693"/>
    <w:rsid w:val="009905F7"/>
    <w:rsid w:val="009963ED"/>
    <w:rsid w:val="009967DE"/>
    <w:rsid w:val="009B52B0"/>
    <w:rsid w:val="009E73AF"/>
    <w:rsid w:val="009F1C5B"/>
    <w:rsid w:val="009F706B"/>
    <w:rsid w:val="00A000B2"/>
    <w:rsid w:val="00A0029D"/>
    <w:rsid w:val="00A032CF"/>
    <w:rsid w:val="00A405FE"/>
    <w:rsid w:val="00A45D2E"/>
    <w:rsid w:val="00A55DC6"/>
    <w:rsid w:val="00A67A0B"/>
    <w:rsid w:val="00A70325"/>
    <w:rsid w:val="00A75EED"/>
    <w:rsid w:val="00A8051A"/>
    <w:rsid w:val="00A954F4"/>
    <w:rsid w:val="00A97B46"/>
    <w:rsid w:val="00AE1A99"/>
    <w:rsid w:val="00B032AA"/>
    <w:rsid w:val="00B15F86"/>
    <w:rsid w:val="00B25E5E"/>
    <w:rsid w:val="00B4604A"/>
    <w:rsid w:val="00B50988"/>
    <w:rsid w:val="00B530F0"/>
    <w:rsid w:val="00B644AD"/>
    <w:rsid w:val="00B975CF"/>
    <w:rsid w:val="00BA1687"/>
    <w:rsid w:val="00BB24B0"/>
    <w:rsid w:val="00BD0277"/>
    <w:rsid w:val="00BE6AD8"/>
    <w:rsid w:val="00BF2422"/>
    <w:rsid w:val="00C00854"/>
    <w:rsid w:val="00C16615"/>
    <w:rsid w:val="00C173D7"/>
    <w:rsid w:val="00C231A9"/>
    <w:rsid w:val="00C25568"/>
    <w:rsid w:val="00C701B5"/>
    <w:rsid w:val="00C70990"/>
    <w:rsid w:val="00C836D3"/>
    <w:rsid w:val="00C91C36"/>
    <w:rsid w:val="00CA6421"/>
    <w:rsid w:val="00CA66D8"/>
    <w:rsid w:val="00CE1F53"/>
    <w:rsid w:val="00D04132"/>
    <w:rsid w:val="00D1541F"/>
    <w:rsid w:val="00D2185E"/>
    <w:rsid w:val="00D247FF"/>
    <w:rsid w:val="00D43D59"/>
    <w:rsid w:val="00D46E29"/>
    <w:rsid w:val="00D53DBF"/>
    <w:rsid w:val="00D652D0"/>
    <w:rsid w:val="00D65BEB"/>
    <w:rsid w:val="00D91AFE"/>
    <w:rsid w:val="00D91F16"/>
    <w:rsid w:val="00DA16F1"/>
    <w:rsid w:val="00DA5EEF"/>
    <w:rsid w:val="00DB0D56"/>
    <w:rsid w:val="00DB4498"/>
    <w:rsid w:val="00DC23C6"/>
    <w:rsid w:val="00DC426F"/>
    <w:rsid w:val="00DD6A22"/>
    <w:rsid w:val="00E00AEB"/>
    <w:rsid w:val="00E455F1"/>
    <w:rsid w:val="00E778ED"/>
    <w:rsid w:val="00E86E6D"/>
    <w:rsid w:val="00EA2B46"/>
    <w:rsid w:val="00EB12F8"/>
    <w:rsid w:val="00EB6D96"/>
    <w:rsid w:val="00EB6EEC"/>
    <w:rsid w:val="00ED6973"/>
    <w:rsid w:val="00EE7B73"/>
    <w:rsid w:val="00F00BA0"/>
    <w:rsid w:val="00F146E7"/>
    <w:rsid w:val="00F2382C"/>
    <w:rsid w:val="00F35B94"/>
    <w:rsid w:val="00F360E9"/>
    <w:rsid w:val="00F65495"/>
    <w:rsid w:val="00F731AE"/>
    <w:rsid w:val="00F76FF6"/>
    <w:rsid w:val="00F82259"/>
    <w:rsid w:val="00F93EF1"/>
    <w:rsid w:val="00FA6B6D"/>
    <w:rsid w:val="00FC0D63"/>
    <w:rsid w:val="00FD5BCB"/>
    <w:rsid w:val="00FD647D"/>
    <w:rsid w:val="00FD6C7E"/>
    <w:rsid w:val="00FE0586"/>
    <w:rsid w:val="00FE2557"/>
    <w:rsid w:val="00FE3758"/>
    <w:rsid w:val="00FE379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EBBA"/>
  <w15:docId w15:val="{DEF29EB9-A57B-491D-8948-2900245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40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F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149C"/>
    <w:pPr>
      <w:ind w:left="720"/>
      <w:contextualSpacing/>
    </w:pPr>
  </w:style>
  <w:style w:type="paragraph" w:customStyle="1" w:styleId="ConsPlusNormal">
    <w:name w:val="ConsPlusNormal"/>
    <w:rsid w:val="00700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point">
    <w:name w:val="point"/>
    <w:basedOn w:val="a"/>
    <w:rsid w:val="00575BCF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575BCF"/>
    <w:pPr>
      <w:spacing w:before="160" w:after="160"/>
      <w:ind w:firstLine="567"/>
      <w:jc w:val="both"/>
    </w:pPr>
  </w:style>
  <w:style w:type="paragraph" w:customStyle="1" w:styleId="Style7">
    <w:name w:val="Style7"/>
    <w:basedOn w:val="a"/>
    <w:uiPriority w:val="99"/>
    <w:rsid w:val="005E18FE"/>
    <w:pPr>
      <w:widowControl w:val="0"/>
      <w:autoSpaceDE w:val="0"/>
      <w:autoSpaceDN w:val="0"/>
      <w:adjustRightInd w:val="0"/>
      <w:spacing w:line="248" w:lineRule="exact"/>
      <w:ind w:firstLine="518"/>
      <w:jc w:val="both"/>
    </w:pPr>
  </w:style>
  <w:style w:type="character" w:customStyle="1" w:styleId="FontStyle15">
    <w:name w:val="Font Style15"/>
    <w:uiPriority w:val="99"/>
    <w:rsid w:val="005E18FE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74578"/>
    <w:rPr>
      <w:color w:val="0000FF"/>
      <w:u w:val="single"/>
    </w:rPr>
  </w:style>
  <w:style w:type="paragraph" w:customStyle="1" w:styleId="snoski">
    <w:name w:val="snoski"/>
    <w:basedOn w:val="a"/>
    <w:rsid w:val="00774578"/>
    <w:pPr>
      <w:spacing w:before="160" w:after="160"/>
      <w:ind w:firstLine="567"/>
      <w:jc w:val="both"/>
    </w:pPr>
    <w:rPr>
      <w:rFonts w:eastAsiaTheme="minorEastAsia"/>
      <w:sz w:val="20"/>
      <w:szCs w:val="20"/>
      <w:lang w:val="en-US" w:eastAsia="en-US"/>
    </w:rPr>
  </w:style>
  <w:style w:type="paragraph" w:customStyle="1" w:styleId="snoskiline">
    <w:name w:val="snoskiline"/>
    <w:basedOn w:val="a"/>
    <w:rsid w:val="00774578"/>
    <w:pPr>
      <w:jc w:val="both"/>
    </w:pPr>
    <w:rPr>
      <w:rFonts w:eastAsiaTheme="minorEastAsi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C16F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16F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6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18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E4CD755B4E6AC726324CE9484A67D3CC20C47DE0FE2F165E2494ABC1AC49FA8F1PE0EH" TargetMode="External"/><Relationship Id="rId13" Type="http://schemas.openxmlformats.org/officeDocument/2006/relationships/hyperlink" Target="consultantplus://offline/ref=FB0E4CD755B4E6AC726324CE9484A67D3CC20C47DE0FECF161EE4F4ABC1AC49FA8F1EE17DACF68FE46B75F6363PA0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0E4CD755B4E6AC726324CE9484A67D3CC20C47DE0FE2F660EB4A4ABC1AC49FA8F1EE17DACF68FE46B75F6267PA0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0E4CD755B4E6AC726324CE9484A67D3CC20C47DE0FECF161EE4F4ABC1AC49FA8F1EE17DACF68FE46B75F6664PA0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0E4CD755B4E6AC726324CE9484A67D3CC20C47DE0FECF161EE444ABC1AC49FA8F1EE17DACF68FE46B75F6664PA09H" TargetMode="External"/><Relationship Id="rId10" Type="http://schemas.openxmlformats.org/officeDocument/2006/relationships/hyperlink" Target="consultantplus://offline/ref=FB0E4CD755B4E6AC726324CE9484A67D3CC20C47DE0FECF161EE4F4ABC1AC49FA8F1EE17DACF68FE46B75F6664PA0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0E4CD755B4E6AC726324CE9484A67D3CC20C47DE0FE2F660EB4A4ABC1AC49FA8F1EE17DACF68FEP405H" TargetMode="External"/><Relationship Id="rId14" Type="http://schemas.openxmlformats.org/officeDocument/2006/relationships/hyperlink" Target="consultantplus://offline/ref=FB0E4CD755B4E6AC726324CE9484A67D3CC20C47DE0FECF161EE444ABC1AC49FA8F1EE17DACF68FE46B75F6662PA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3C61-F48C-4FB3-A663-8F616542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10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Ничипорович</dc:creator>
  <cp:lastModifiedBy>user419</cp:lastModifiedBy>
  <cp:revision>150</cp:revision>
  <cp:lastPrinted>2025-05-29T11:05:00Z</cp:lastPrinted>
  <dcterms:created xsi:type="dcterms:W3CDTF">2017-06-15T06:04:00Z</dcterms:created>
  <dcterms:modified xsi:type="dcterms:W3CDTF">2025-06-11T14:54:00Z</dcterms:modified>
</cp:coreProperties>
</file>